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3402"/>
        <w:gridCol w:w="7370"/>
      </w:tblGrid>
      <w:tr w:rsidR="00130784" w14:paraId="216968BB" w14:textId="77777777">
        <w:trPr>
          <w:jc w:val="center"/>
        </w:trPr>
        <w:tc>
          <w:tcPr>
            <w:tcW w:w="3402" w:type="dxa"/>
            <w:tcMar>
              <w:top w:w="0" w:type="dxa"/>
              <w:left w:w="0" w:type="dxa"/>
              <w:bottom w:w="0" w:type="dxa"/>
              <w:right w:w="0" w:type="dxa"/>
            </w:tcMar>
          </w:tcPr>
          <w:p w14:paraId="25844FB6" w14:textId="77777777" w:rsidR="00130784" w:rsidRDefault="00C82371">
            <w:pPr>
              <w:jc w:val="center"/>
            </w:pPr>
            <w:r>
              <w:rPr>
                <w:noProof/>
              </w:rPr>
              <w:drawing>
                <wp:inline distT="0" distB="0" distL="0" distR="0" wp14:anchorId="7A486193" wp14:editId="45D44880">
                  <wp:extent cx="1116000" cy="10628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116000" cy="1062857"/>
                          </a:xfrm>
                          <a:prstGeom prst="rect">
                            <a:avLst/>
                          </a:prstGeom>
                        </pic:spPr>
                      </pic:pic>
                    </a:graphicData>
                  </a:graphic>
                </wp:inline>
              </w:drawing>
            </w:r>
          </w:p>
        </w:tc>
        <w:tc>
          <w:tcPr>
            <w:tcW w:w="7370" w:type="dxa"/>
            <w:tcMar>
              <w:top w:w="0" w:type="dxa"/>
              <w:left w:w="0" w:type="dxa"/>
              <w:bottom w:w="0" w:type="dxa"/>
              <w:right w:w="0" w:type="dxa"/>
            </w:tcMar>
          </w:tcPr>
          <w:p w14:paraId="5FF2C22C" w14:textId="77777777" w:rsidR="00130784" w:rsidRDefault="00C82371">
            <w:pPr>
              <w:spacing w:after="40"/>
              <w:jc w:val="center"/>
            </w:pPr>
            <w:r>
              <w:rPr>
                <w:color w:val="84957B"/>
                <w:sz w:val="26"/>
              </w:rPr>
              <w:t>ALGEMENE VOORWAARDEN</w:t>
            </w:r>
          </w:p>
          <w:p w14:paraId="7F0FEFA4" w14:textId="77777777" w:rsidR="00130784" w:rsidRDefault="00C82371">
            <w:pPr>
              <w:spacing w:after="40"/>
              <w:jc w:val="center"/>
            </w:pPr>
            <w:r>
              <w:rPr>
                <w:rFonts w:ascii="Georgia" w:hAnsi="Georgia"/>
                <w:b/>
                <w:color w:val="84957B"/>
                <w:sz w:val="46"/>
              </w:rPr>
              <w:t>THE BARK BONE-TIQUE</w:t>
            </w:r>
          </w:p>
        </w:tc>
      </w:tr>
    </w:tbl>
    <w:p w14:paraId="63E3950A" w14:textId="77777777" w:rsidR="00130784" w:rsidRDefault="00130784">
      <w:pPr>
        <w:spacing w:after="20"/>
      </w:pPr>
    </w:p>
    <w:p w14:paraId="2CD988EF" w14:textId="77777777" w:rsidR="00130784" w:rsidRDefault="00C82371">
      <w:pPr>
        <w:spacing w:after="160"/>
        <w:jc w:val="center"/>
      </w:pPr>
      <w:r>
        <w:rPr>
          <w:i/>
          <w:color w:val="7D857B"/>
        </w:rPr>
        <w:t>Deze algemene voorwaarden regelen de dienstverlening van The Bark Bone-tique en vormen samen met de kennismakingsfiche, de overeenkomst en eventuele aanvullende beleidsdocumenten de basis van de samenwerking.</w:t>
      </w: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7C5DDFC6" w14:textId="77777777">
        <w:trPr>
          <w:cantSplit/>
          <w:jc w:val="center"/>
        </w:trPr>
        <w:tc>
          <w:tcPr>
            <w:tcW w:w="10772" w:type="dxa"/>
            <w:shd w:val="clear" w:color="auto" w:fill="84957B"/>
            <w:tcMar>
              <w:top w:w="65" w:type="dxa"/>
              <w:left w:w="120" w:type="dxa"/>
              <w:bottom w:w="65" w:type="dxa"/>
              <w:right w:w="120" w:type="dxa"/>
            </w:tcMar>
          </w:tcPr>
          <w:p w14:paraId="30670CAC" w14:textId="77777777" w:rsidR="00130784" w:rsidRDefault="00C82371">
            <w:pPr>
              <w:keepNext/>
              <w:spacing w:after="0"/>
            </w:pPr>
            <w:r>
              <w:rPr>
                <w:color w:val="FFFFFF"/>
              </w:rPr>
              <w:t>1. TOEPASSINGSGEBIED &amp; OVEREENKOMST</w:t>
            </w:r>
          </w:p>
        </w:tc>
      </w:tr>
      <w:tr w:rsidR="00130784" w14:paraId="065A95C4" w14:textId="77777777">
        <w:trPr>
          <w:cantSplit/>
          <w:jc w:val="center"/>
        </w:trPr>
        <w:tc>
          <w:tcPr>
            <w:tcW w:w="10772" w:type="dxa"/>
            <w:tcMar>
              <w:top w:w="100" w:type="dxa"/>
              <w:left w:w="140" w:type="dxa"/>
              <w:bottom w:w="100" w:type="dxa"/>
              <w:right w:w="140" w:type="dxa"/>
            </w:tcMar>
          </w:tcPr>
          <w:p w14:paraId="385E9F19" w14:textId="77777777" w:rsidR="00130784" w:rsidRDefault="00C82371">
            <w:pPr>
              <w:spacing w:after="100"/>
            </w:pPr>
            <w:r>
              <w:t>Deze algemene voorwaarden zijn van toepassing op de hondendiensten van The Bark Bone-tique, tenzij voor een specifieke dienst schriftelijk andere of aanvullende afspraken zijn gemaakt.</w:t>
            </w:r>
          </w:p>
          <w:p w14:paraId="210A58C7" w14:textId="77777777" w:rsidR="00130784" w:rsidRDefault="00C82371">
            <w:pPr>
              <w:spacing w:after="100"/>
            </w:pPr>
            <w:r>
              <w:t>Een boeking of overeenkomst komt tot stand nadat de dienst is afgesproken en de eigenaar de toepasselijke voorwaarden heeft kunnen raadplegen. De kennismakingsfiche, eventuele afzonderlijke overeenkomst en relevante beleidsdocumenten kunnen deel uitmaken van de afspraken.</w:t>
            </w:r>
          </w:p>
          <w:p w14:paraId="24FC83D7" w14:textId="77777777" w:rsidR="00130784" w:rsidRDefault="00C82371">
            <w:pPr>
              <w:spacing w:after="100"/>
            </w:pPr>
            <w:r>
              <w:t>Bij tegenstrijdigheid tussen een individuele schriftelijke afspraak en deze algemene voorwaarden heeft de individuele afspraak voorrang voor het betrokken onderdeel.</w:t>
            </w:r>
          </w:p>
        </w:tc>
      </w:tr>
    </w:tbl>
    <w:p w14:paraId="5C303EB1"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1515646C" w14:textId="77777777">
        <w:trPr>
          <w:cantSplit/>
          <w:jc w:val="center"/>
        </w:trPr>
        <w:tc>
          <w:tcPr>
            <w:tcW w:w="10772" w:type="dxa"/>
            <w:shd w:val="clear" w:color="auto" w:fill="84957B"/>
            <w:tcMar>
              <w:top w:w="65" w:type="dxa"/>
              <w:left w:w="120" w:type="dxa"/>
              <w:bottom w:w="65" w:type="dxa"/>
              <w:right w:w="120" w:type="dxa"/>
            </w:tcMar>
          </w:tcPr>
          <w:p w14:paraId="41E1F8DF" w14:textId="77777777" w:rsidR="00130784" w:rsidRDefault="00C82371">
            <w:pPr>
              <w:keepNext/>
              <w:spacing w:after="0"/>
            </w:pPr>
            <w:r>
              <w:rPr>
                <w:color w:val="FFFFFF"/>
              </w:rPr>
              <w:t>2. GEGEVENS VAN EIGENAAR &amp; HOND</w:t>
            </w:r>
          </w:p>
        </w:tc>
      </w:tr>
      <w:tr w:rsidR="00130784" w14:paraId="7CEC007C" w14:textId="77777777">
        <w:trPr>
          <w:cantSplit/>
          <w:jc w:val="center"/>
        </w:trPr>
        <w:tc>
          <w:tcPr>
            <w:tcW w:w="10772" w:type="dxa"/>
            <w:tcMar>
              <w:top w:w="100" w:type="dxa"/>
              <w:left w:w="140" w:type="dxa"/>
              <w:bottom w:w="100" w:type="dxa"/>
              <w:right w:w="140" w:type="dxa"/>
            </w:tcMar>
          </w:tcPr>
          <w:p w14:paraId="70BA3BCD" w14:textId="77777777" w:rsidR="00130784" w:rsidRDefault="00C82371">
            <w:pPr>
              <w:spacing w:after="100"/>
            </w:pPr>
            <w:r>
              <w:t>De eigenaar verstrekt correcte, actuele en zo volledig mogelijke informatie die nodig is om de dienst veilig uit te voeren. Dit omvat onder meer contactgegevens en relevante informatie over gezondheid, medicatie, gedrag, angsten, triggers, eerdere bijtincidenten en omgang met mensen en honden.</w:t>
            </w:r>
          </w:p>
          <w:p w14:paraId="33952CFF" w14:textId="77777777" w:rsidR="00130784" w:rsidRDefault="00C82371">
            <w:pPr>
              <w:spacing w:after="100"/>
            </w:pPr>
            <w:r>
              <w:t>Belangrijke wijzigingen worden vóór de eerstvolgende afspraak gemeld. The Bark Bone-tique mag bijkomende informatie vragen wanneer dit nodig is voor veiligheid, welzijn of een goede uitvoering van de dienst.</w:t>
            </w:r>
          </w:p>
        </w:tc>
      </w:tr>
    </w:tbl>
    <w:p w14:paraId="04DB8AB0"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216A6949" w14:textId="77777777">
        <w:trPr>
          <w:cantSplit/>
          <w:jc w:val="center"/>
        </w:trPr>
        <w:tc>
          <w:tcPr>
            <w:tcW w:w="10772" w:type="dxa"/>
            <w:shd w:val="clear" w:color="auto" w:fill="84957B"/>
            <w:tcMar>
              <w:top w:w="65" w:type="dxa"/>
              <w:left w:w="120" w:type="dxa"/>
              <w:bottom w:w="65" w:type="dxa"/>
              <w:right w:w="120" w:type="dxa"/>
            </w:tcMar>
          </w:tcPr>
          <w:p w14:paraId="75643C4E" w14:textId="77777777" w:rsidR="00130784" w:rsidRDefault="00C82371">
            <w:pPr>
              <w:keepNext/>
              <w:spacing w:after="0"/>
            </w:pPr>
            <w:r>
              <w:rPr>
                <w:color w:val="FFFFFF"/>
              </w:rPr>
              <w:t>3. GEZONDHEID &amp; GESCHIKTHEID VAN DE HOND</w:t>
            </w:r>
          </w:p>
        </w:tc>
      </w:tr>
      <w:tr w:rsidR="00130784" w14:paraId="65BFEBEF" w14:textId="77777777">
        <w:trPr>
          <w:cantSplit/>
          <w:jc w:val="center"/>
        </w:trPr>
        <w:tc>
          <w:tcPr>
            <w:tcW w:w="10772" w:type="dxa"/>
            <w:tcMar>
              <w:top w:w="100" w:type="dxa"/>
              <w:left w:w="140" w:type="dxa"/>
              <w:bottom w:w="100" w:type="dxa"/>
              <w:right w:w="140" w:type="dxa"/>
            </w:tcMar>
          </w:tcPr>
          <w:p w14:paraId="0A55CD32" w14:textId="77777777" w:rsidR="00130784" w:rsidRDefault="00C82371">
            <w:pPr>
              <w:spacing w:after="100"/>
            </w:pPr>
            <w:r>
              <w:t>De eigenaar meldt medische aandoeningen, blessures, lichamelijke beperkingen, allergieën, intoleranties, medicatie en andere relevante gezondheidsinformatie.</w:t>
            </w:r>
          </w:p>
          <w:p w14:paraId="18ADA912" w14:textId="77777777" w:rsidR="00130784" w:rsidRDefault="00C82371">
            <w:pPr>
              <w:spacing w:after="100"/>
            </w:pPr>
            <w:r>
              <w:t>De eigenaar staat ervoor in dat de hond voldoende gezond is voor de gekozen dienst. Wanneer de toestand van de hond aanleiding geeft tot twijfel, kan The Bark Bone-tique vragen om vooraf overleg met een dierenarts.</w:t>
            </w:r>
          </w:p>
          <w:p w14:paraId="593BC9F7" w14:textId="77777777" w:rsidR="00130784" w:rsidRDefault="00C82371">
            <w:pPr>
              <w:spacing w:after="100"/>
            </w:pPr>
            <w:r>
              <w:t>Een dienst kan worden aangepast, onderbroken of geweigerd wanneer de hond ziek, gewond of zichtbaar onwel is, of wanneer uitvoering naar redelijke inschatting niet verantwoord is.</w:t>
            </w:r>
          </w:p>
        </w:tc>
      </w:tr>
    </w:tbl>
    <w:p w14:paraId="0ECB1C8C"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6E87E1CC" w14:textId="77777777">
        <w:trPr>
          <w:cantSplit/>
          <w:jc w:val="center"/>
        </w:trPr>
        <w:tc>
          <w:tcPr>
            <w:tcW w:w="10772" w:type="dxa"/>
            <w:shd w:val="clear" w:color="auto" w:fill="84957B"/>
            <w:tcMar>
              <w:top w:w="65" w:type="dxa"/>
              <w:left w:w="120" w:type="dxa"/>
              <w:bottom w:w="65" w:type="dxa"/>
              <w:right w:w="120" w:type="dxa"/>
            </w:tcMar>
          </w:tcPr>
          <w:p w14:paraId="2112EFD7" w14:textId="77777777" w:rsidR="00130784" w:rsidRDefault="00C82371">
            <w:pPr>
              <w:keepNext/>
              <w:spacing w:after="0"/>
            </w:pPr>
            <w:r>
              <w:rPr>
                <w:color w:val="FFFFFF"/>
              </w:rPr>
              <w:t>4. GEDRAG, VEILIGHEID &amp; WELZIJN</w:t>
            </w:r>
          </w:p>
        </w:tc>
      </w:tr>
      <w:tr w:rsidR="00130784" w14:paraId="3B4320A4" w14:textId="77777777">
        <w:trPr>
          <w:cantSplit/>
          <w:jc w:val="center"/>
        </w:trPr>
        <w:tc>
          <w:tcPr>
            <w:tcW w:w="10772" w:type="dxa"/>
            <w:tcMar>
              <w:top w:w="100" w:type="dxa"/>
              <w:left w:w="140" w:type="dxa"/>
              <w:bottom w:w="100" w:type="dxa"/>
              <w:right w:w="140" w:type="dxa"/>
            </w:tcMar>
          </w:tcPr>
          <w:p w14:paraId="6DEE2F04" w14:textId="77777777" w:rsidR="00130784" w:rsidRDefault="00C82371">
            <w:pPr>
              <w:spacing w:after="100"/>
            </w:pPr>
            <w:r>
              <w:t>Het welzijn en de veiligheid van de hond, andere dieren, personen en The Bark Bone-tique staan voorop. De aanpak wordt waar mogelijk afgestemd op het tempo, de behoeften en het gedrag van de hond.</w:t>
            </w:r>
          </w:p>
          <w:p w14:paraId="658E9979" w14:textId="77777777" w:rsidR="00130784" w:rsidRDefault="00C82371">
            <w:pPr>
              <w:spacing w:after="100"/>
            </w:pPr>
            <w:r>
              <w:t>De eigenaar meldt gekende agressie, bijtgedrag, vluchtgedrag, sterke reactiviteit of andere gedragingen die de veiligheid kunnen beïnvloeden. Het achterhouden van relevante informatie kan aanleiding geven tot aanpassing of stopzetting van de dienstverlening.</w:t>
            </w:r>
          </w:p>
          <w:p w14:paraId="2AA29BE3" w14:textId="77777777" w:rsidR="00130784" w:rsidRDefault="00C82371">
            <w:pPr>
              <w:spacing w:after="100"/>
            </w:pPr>
            <w:r>
              <w:t>The Bark Bone-tique mag een activiteit onmiddellijk aanpassen of beëindigen wanneer de situatie onveilig wordt of wanneer de hond duidelijke tekenen van fysieke of mentale overbelasting vertoont.</w:t>
            </w:r>
          </w:p>
        </w:tc>
      </w:tr>
    </w:tbl>
    <w:p w14:paraId="194810DE"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4BCB1BDB" w14:textId="77777777">
        <w:trPr>
          <w:cantSplit/>
          <w:jc w:val="center"/>
        </w:trPr>
        <w:tc>
          <w:tcPr>
            <w:tcW w:w="10772" w:type="dxa"/>
            <w:shd w:val="clear" w:color="auto" w:fill="84957B"/>
            <w:tcMar>
              <w:top w:w="65" w:type="dxa"/>
              <w:left w:w="120" w:type="dxa"/>
              <w:bottom w:w="65" w:type="dxa"/>
              <w:right w:w="120" w:type="dxa"/>
            </w:tcMar>
          </w:tcPr>
          <w:p w14:paraId="7CBBCD97" w14:textId="77777777" w:rsidR="00130784" w:rsidRDefault="00C82371">
            <w:pPr>
              <w:keepNext/>
              <w:spacing w:after="0"/>
            </w:pPr>
            <w:r>
              <w:rPr>
                <w:color w:val="FFFFFF"/>
              </w:rPr>
              <w:t>5. WANDELMATERIAAL &amp; UITVOERING</w:t>
            </w:r>
          </w:p>
        </w:tc>
      </w:tr>
      <w:tr w:rsidR="00130784" w14:paraId="0C611F02" w14:textId="77777777">
        <w:trPr>
          <w:cantSplit/>
          <w:jc w:val="center"/>
        </w:trPr>
        <w:tc>
          <w:tcPr>
            <w:tcW w:w="10772" w:type="dxa"/>
            <w:tcMar>
              <w:top w:w="100" w:type="dxa"/>
              <w:left w:w="140" w:type="dxa"/>
              <w:bottom w:w="100" w:type="dxa"/>
              <w:right w:w="140" w:type="dxa"/>
            </w:tcMar>
          </w:tcPr>
          <w:p w14:paraId="49F88018" w14:textId="77777777" w:rsidR="00130784" w:rsidRDefault="00C82371">
            <w:pPr>
              <w:spacing w:after="100"/>
            </w:pPr>
            <w:r>
              <w:t>De eigenaar zorgt voor passend, degelijk en veilig materiaal dat nodig is voor de afgesproken dienst, zoals halsband, tuig en lijn. The Bark Bone-tique mag materiaal weigeren wanneer dit zichtbaar beschadigd of ongeschikt is.</w:t>
            </w:r>
          </w:p>
          <w:p w14:paraId="5D56E2E5" w14:textId="77777777" w:rsidR="00130784" w:rsidRDefault="00C82371">
            <w:pPr>
              <w:spacing w:after="100"/>
            </w:pPr>
            <w:r>
              <w:t>Tijdens Snuffelrondjes ligt de nadruk op een persoonlijke één-op-één wandeling waarbij de hond ruimte krijgt om te snuffelen en op eigen tempo de omgeving te verkennen. De exacte route, afstand en invulling kunnen per wandeling verschillen.</w:t>
            </w:r>
          </w:p>
          <w:p w14:paraId="694B64A6" w14:textId="77777777" w:rsidR="00130784" w:rsidRDefault="00C82371">
            <w:pPr>
              <w:spacing w:after="100"/>
            </w:pPr>
            <w:r>
              <w:t>Loslopen gebeurt alleen wanneer dit vooraf uitdrukkelijk is afgesproken én de omstandigheden, locatie en geldende regels dit toelaten. The Bark Bone-tique kan altijd beslissen de hond aangelijnd te houden.</w:t>
            </w:r>
          </w:p>
        </w:tc>
      </w:tr>
    </w:tbl>
    <w:p w14:paraId="04EF3605"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31B0E7F2" w14:textId="77777777">
        <w:trPr>
          <w:cantSplit/>
          <w:jc w:val="center"/>
        </w:trPr>
        <w:tc>
          <w:tcPr>
            <w:tcW w:w="10772" w:type="dxa"/>
            <w:shd w:val="clear" w:color="auto" w:fill="84957B"/>
            <w:tcMar>
              <w:top w:w="65" w:type="dxa"/>
              <w:left w:w="120" w:type="dxa"/>
              <w:bottom w:w="65" w:type="dxa"/>
              <w:right w:w="120" w:type="dxa"/>
            </w:tcMar>
          </w:tcPr>
          <w:p w14:paraId="67F80A52" w14:textId="77777777" w:rsidR="00130784" w:rsidRDefault="00C82371">
            <w:pPr>
              <w:keepNext/>
              <w:spacing w:after="0"/>
            </w:pPr>
            <w:r>
              <w:rPr>
                <w:color w:val="FFFFFF"/>
              </w:rPr>
              <w:t>6. DUUR, PLANNING &amp; PRAKTISCHE UITVOERING</w:t>
            </w:r>
          </w:p>
        </w:tc>
      </w:tr>
      <w:tr w:rsidR="00130784" w14:paraId="498ABD24" w14:textId="77777777">
        <w:trPr>
          <w:cantSplit/>
          <w:jc w:val="center"/>
        </w:trPr>
        <w:tc>
          <w:tcPr>
            <w:tcW w:w="10772" w:type="dxa"/>
            <w:tcMar>
              <w:top w:w="100" w:type="dxa"/>
              <w:left w:w="140" w:type="dxa"/>
              <w:bottom w:w="100" w:type="dxa"/>
              <w:right w:w="140" w:type="dxa"/>
            </w:tcMar>
          </w:tcPr>
          <w:p w14:paraId="6ABF07ED" w14:textId="77777777" w:rsidR="00130784" w:rsidRDefault="00C82371">
            <w:pPr>
              <w:spacing w:after="100"/>
            </w:pPr>
            <w:r>
              <w:t>De afgesproken duur betreft de voorziene duur van de activiteit, tenzij bij de boeking anders is aangegeven. Praktische omstandigheden, veiligheid, gezondheid van de hond of onverwachte gebeurtenissen kunnen beperkte afwijkingen noodzakelijk maken.</w:t>
            </w:r>
          </w:p>
          <w:p w14:paraId="3DA00735" w14:textId="77777777" w:rsidR="00130784" w:rsidRDefault="00C82371">
            <w:pPr>
              <w:spacing w:after="100"/>
            </w:pPr>
            <w:r>
              <w:t>Afspraken worden ingepland volgens de beschikbare momenten van The Bark Bone-tique. Een gewenste dag of tijd is pas definitief nadat deze is bevestigd.</w:t>
            </w:r>
          </w:p>
          <w:p w14:paraId="3F415C9D" w14:textId="77777777" w:rsidR="00130784" w:rsidRDefault="00C82371">
            <w:pPr>
              <w:spacing w:after="100"/>
            </w:pPr>
            <w:r>
              <w:t>Wanneer toegang tot de woning nodig is, zorgt de eigenaar ervoor dat de afgesproken toegangsmethode bruikbaar is en dat noodzakelijke benodigdheden gemakkelijk bereikbaar zijn.</w:t>
            </w:r>
          </w:p>
        </w:tc>
      </w:tr>
    </w:tbl>
    <w:p w14:paraId="6A86DA34"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5DF87165" w14:textId="77777777">
        <w:trPr>
          <w:cantSplit/>
          <w:jc w:val="center"/>
        </w:trPr>
        <w:tc>
          <w:tcPr>
            <w:tcW w:w="10772" w:type="dxa"/>
            <w:shd w:val="clear" w:color="auto" w:fill="84957B"/>
            <w:tcMar>
              <w:top w:w="65" w:type="dxa"/>
              <w:left w:w="120" w:type="dxa"/>
              <w:bottom w:w="65" w:type="dxa"/>
              <w:right w:w="120" w:type="dxa"/>
            </w:tcMar>
          </w:tcPr>
          <w:p w14:paraId="526DEBB5" w14:textId="77777777" w:rsidR="00130784" w:rsidRDefault="00C82371">
            <w:pPr>
              <w:keepNext/>
              <w:spacing w:after="0"/>
            </w:pPr>
            <w:r>
              <w:rPr>
                <w:color w:val="FFFFFF"/>
              </w:rPr>
              <w:t>7. SLEUTELS &amp; TOEGANG TOT DE WONING</w:t>
            </w:r>
          </w:p>
        </w:tc>
      </w:tr>
      <w:tr w:rsidR="00130784" w14:paraId="74B041ED" w14:textId="77777777">
        <w:trPr>
          <w:cantSplit/>
          <w:jc w:val="center"/>
        </w:trPr>
        <w:tc>
          <w:tcPr>
            <w:tcW w:w="10772" w:type="dxa"/>
            <w:tcMar>
              <w:top w:w="100" w:type="dxa"/>
              <w:left w:w="140" w:type="dxa"/>
              <w:bottom w:w="100" w:type="dxa"/>
              <w:right w:w="140" w:type="dxa"/>
            </w:tcMar>
          </w:tcPr>
          <w:p w14:paraId="1F230616" w14:textId="77777777" w:rsidR="00130784" w:rsidRDefault="00C82371">
            <w:pPr>
              <w:spacing w:after="100"/>
            </w:pPr>
            <w:r>
              <w:t>Sleutels, toegangscodes en andere toegangsgegevens worden uitsluitend gebruikt voor de afgesproken dienstverlening en met de nodige zorg behandeld.</w:t>
            </w:r>
          </w:p>
          <w:p w14:paraId="1DAD3E08" w14:textId="77777777" w:rsidR="00130784" w:rsidRDefault="00C82371">
            <w:pPr>
              <w:spacing w:after="100"/>
            </w:pPr>
            <w:r>
              <w:t>De eigenaar informeert The Bark Bone-tique over relevante aandachtspunten in of rond de woning, waaronder andere aanwezige dieren, alarmen, afgesloten ruimtes of bijzondere veiligheidsrisico’s.</w:t>
            </w:r>
          </w:p>
          <w:p w14:paraId="1A3169B0" w14:textId="77777777" w:rsidR="00130784" w:rsidRDefault="00C82371">
            <w:pPr>
              <w:spacing w:after="100"/>
            </w:pPr>
            <w:r>
              <w:t>The Bark Bone-tique betreedt alleen de ruimtes die redelijkerwijs nodig zijn om de afgesproken dienst uit te voeren.</w:t>
            </w:r>
          </w:p>
        </w:tc>
      </w:tr>
    </w:tbl>
    <w:p w14:paraId="28DE1BC2"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63EDCF4A" w14:textId="77777777">
        <w:trPr>
          <w:cantSplit/>
          <w:jc w:val="center"/>
        </w:trPr>
        <w:tc>
          <w:tcPr>
            <w:tcW w:w="10772" w:type="dxa"/>
            <w:shd w:val="clear" w:color="auto" w:fill="84957B"/>
            <w:tcMar>
              <w:top w:w="65" w:type="dxa"/>
              <w:left w:w="120" w:type="dxa"/>
              <w:bottom w:w="65" w:type="dxa"/>
              <w:right w:w="120" w:type="dxa"/>
            </w:tcMar>
          </w:tcPr>
          <w:p w14:paraId="6BDBA24A" w14:textId="77777777" w:rsidR="00130784" w:rsidRDefault="00C82371">
            <w:pPr>
              <w:keepNext/>
              <w:spacing w:after="0"/>
            </w:pPr>
            <w:r>
              <w:rPr>
                <w:color w:val="FFFFFF"/>
              </w:rPr>
              <w:t>8. TARIEVEN, BETALING &amp; FACTURATIE</w:t>
            </w:r>
          </w:p>
        </w:tc>
      </w:tr>
      <w:tr w:rsidR="00130784" w14:paraId="01FA9052" w14:textId="77777777">
        <w:trPr>
          <w:cantSplit/>
          <w:jc w:val="center"/>
        </w:trPr>
        <w:tc>
          <w:tcPr>
            <w:tcW w:w="10772" w:type="dxa"/>
            <w:tcMar>
              <w:top w:w="100" w:type="dxa"/>
              <w:left w:w="140" w:type="dxa"/>
              <w:bottom w:w="100" w:type="dxa"/>
              <w:right w:w="140" w:type="dxa"/>
            </w:tcMar>
          </w:tcPr>
          <w:p w14:paraId="353644FE" w14:textId="77777777" w:rsidR="00130784" w:rsidRDefault="00C82371">
            <w:pPr>
              <w:spacing w:after="100"/>
            </w:pPr>
            <w:r>
              <w:t>De geldende tarieven worden vóór de boeking of via de actuele communicatiekanalen van The Bark Bone-tique meegedeeld. Eventuele bijkomende kosten worden vooraf besproken wanneer deze voorzienbaar zijn.</w:t>
            </w:r>
          </w:p>
          <w:p w14:paraId="7E018874" w14:textId="77777777" w:rsidR="00130784" w:rsidRDefault="00C82371">
            <w:pPr>
              <w:spacing w:after="100"/>
            </w:pPr>
            <w:r>
              <w:t>Betaling gebeurt volgens de afgesproken betaalwijze en betalingstermijn. Wanneer een factuur niet tijdig wordt betaald, kan The Bark Bone-tique nieuwe afspraken opschorten totdat openstaande bedragen zijn voldaan, met respect voor de toepasselijke wettelijke regels.</w:t>
            </w:r>
          </w:p>
          <w:p w14:paraId="1BDCD596" w14:textId="77777777" w:rsidR="00130784" w:rsidRDefault="00C82371">
            <w:pPr>
              <w:spacing w:after="100"/>
            </w:pPr>
            <w:r>
              <w:t>Wijzigingen in tarieven gelden voor toekomstige boekingen en worden op passende wijze gecommuniceerd.</w:t>
            </w:r>
          </w:p>
        </w:tc>
      </w:tr>
    </w:tbl>
    <w:p w14:paraId="047F4F71"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51898116" w14:textId="77777777">
        <w:trPr>
          <w:cantSplit/>
          <w:jc w:val="center"/>
        </w:trPr>
        <w:tc>
          <w:tcPr>
            <w:tcW w:w="10772" w:type="dxa"/>
            <w:shd w:val="clear" w:color="auto" w:fill="84957B"/>
            <w:tcMar>
              <w:top w:w="65" w:type="dxa"/>
              <w:left w:w="120" w:type="dxa"/>
              <w:bottom w:w="65" w:type="dxa"/>
              <w:right w:w="120" w:type="dxa"/>
            </w:tcMar>
          </w:tcPr>
          <w:p w14:paraId="231757A1" w14:textId="77777777" w:rsidR="00130784" w:rsidRDefault="00C82371">
            <w:pPr>
              <w:keepNext/>
              <w:spacing w:after="0"/>
            </w:pPr>
            <w:r>
              <w:rPr>
                <w:color w:val="FFFFFF"/>
              </w:rPr>
              <w:t>9. ANNULEREN, WIJZIGEN &amp; NIET AANWEZIG ZIJN</w:t>
            </w:r>
          </w:p>
        </w:tc>
      </w:tr>
      <w:tr w:rsidR="00130784" w14:paraId="6A5182B2" w14:textId="77777777">
        <w:trPr>
          <w:cantSplit/>
          <w:jc w:val="center"/>
        </w:trPr>
        <w:tc>
          <w:tcPr>
            <w:tcW w:w="10772" w:type="dxa"/>
            <w:tcMar>
              <w:top w:w="100" w:type="dxa"/>
              <w:left w:w="140" w:type="dxa"/>
              <w:bottom w:w="100" w:type="dxa"/>
              <w:right w:w="140" w:type="dxa"/>
            </w:tcMar>
          </w:tcPr>
          <w:p w14:paraId="232A1022" w14:textId="77777777" w:rsidR="00130784" w:rsidRDefault="00C82371">
            <w:pPr>
              <w:spacing w:after="100"/>
            </w:pPr>
            <w:r>
              <w:t>Een afspraak kan door de eigenaar worden geannuleerd of gewijzigd volgens het op dat moment meegedeelde annuleringsbeleid van The Bark Bone-tique.</w:t>
            </w:r>
          </w:p>
          <w:p w14:paraId="1FB9B023" w14:textId="77777777" w:rsidR="00130784" w:rsidRDefault="00C82371">
            <w:pPr>
              <w:spacing w:after="100"/>
            </w:pPr>
            <w:r>
              <w:t>Wanneer The Bark Bone-tique bij aankomst de dienst niet kan uitvoeren door een omstandigheid waarvoor de eigenaar verantwoordelijk is, bijvoorbeeld geen toegang tot de hond of woning, kan de afspraak volgens het toepasselijke annuleringsbeleid worden aangerekend.</w:t>
            </w:r>
          </w:p>
          <w:p w14:paraId="31A6E2A4" w14:textId="77777777" w:rsidR="00130784" w:rsidRDefault="00C82371">
            <w:pPr>
              <w:spacing w:after="100"/>
            </w:pPr>
            <w:r>
              <w:t>Wanneer The Bark Bone-tique zelf een afspraak moet annuleren, wordt de eigenaar zo snel mogelijk geïnformeerd en wordt waar mogelijk een nieuw moment afgesproken. Niet-uitgevoerde diensten worden niet aangerekend of, indien reeds betaald, passend verrekend.</w:t>
            </w:r>
          </w:p>
        </w:tc>
      </w:tr>
    </w:tbl>
    <w:p w14:paraId="540FCDB1"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6CF9BBEA" w14:textId="77777777">
        <w:trPr>
          <w:cantSplit/>
          <w:jc w:val="center"/>
        </w:trPr>
        <w:tc>
          <w:tcPr>
            <w:tcW w:w="10772" w:type="dxa"/>
            <w:shd w:val="clear" w:color="auto" w:fill="84957B"/>
            <w:tcMar>
              <w:top w:w="65" w:type="dxa"/>
              <w:left w:w="120" w:type="dxa"/>
              <w:bottom w:w="65" w:type="dxa"/>
              <w:right w:w="120" w:type="dxa"/>
            </w:tcMar>
          </w:tcPr>
          <w:p w14:paraId="7D52CFC5" w14:textId="77777777" w:rsidR="00130784" w:rsidRDefault="00C82371">
            <w:pPr>
              <w:keepNext/>
              <w:spacing w:after="0"/>
            </w:pPr>
            <w:r>
              <w:rPr>
                <w:color w:val="FFFFFF"/>
              </w:rPr>
              <w:t>10. WEER &amp; BIJZONDERE OMSTANDIGHEDEN</w:t>
            </w:r>
          </w:p>
        </w:tc>
      </w:tr>
      <w:tr w:rsidR="00130784" w14:paraId="0E9531BB" w14:textId="77777777">
        <w:trPr>
          <w:cantSplit/>
          <w:jc w:val="center"/>
        </w:trPr>
        <w:tc>
          <w:tcPr>
            <w:tcW w:w="10772" w:type="dxa"/>
            <w:tcMar>
              <w:top w:w="100" w:type="dxa"/>
              <w:left w:w="140" w:type="dxa"/>
              <w:bottom w:w="100" w:type="dxa"/>
              <w:right w:w="140" w:type="dxa"/>
            </w:tcMar>
          </w:tcPr>
          <w:p w14:paraId="43AAE9E2" w14:textId="77777777" w:rsidR="00130784" w:rsidRDefault="00C82371">
            <w:pPr>
              <w:spacing w:after="100"/>
            </w:pPr>
            <w:r>
              <w:t>Bij hitte, extreme koude, onweer, gladheid, storm, slechte luchtkwaliteit of andere omstandigheden die een risico kunnen vormen, mag The Bark Bone-tique de duur, route of invulling van de dienst aanpassen.</w:t>
            </w:r>
          </w:p>
          <w:p w14:paraId="0EDB4FE8" w14:textId="77777777" w:rsidR="00130784" w:rsidRDefault="00C82371">
            <w:pPr>
              <w:spacing w:after="100"/>
            </w:pPr>
            <w:r>
              <w:t>Waar passend kan een wandeling worden ingekort of vervangen door een rustiger alternatief. Wanneer uitvoering niet verantwoord is, kan de afspraak worden verplaatst of geannuleerd.</w:t>
            </w:r>
          </w:p>
        </w:tc>
      </w:tr>
    </w:tbl>
    <w:p w14:paraId="0CA17A20"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311DC43F" w14:textId="77777777">
        <w:trPr>
          <w:cantSplit/>
          <w:jc w:val="center"/>
        </w:trPr>
        <w:tc>
          <w:tcPr>
            <w:tcW w:w="10772" w:type="dxa"/>
            <w:shd w:val="clear" w:color="auto" w:fill="84957B"/>
            <w:tcMar>
              <w:top w:w="65" w:type="dxa"/>
              <w:left w:w="120" w:type="dxa"/>
              <w:bottom w:w="65" w:type="dxa"/>
              <w:right w:w="120" w:type="dxa"/>
            </w:tcMar>
          </w:tcPr>
          <w:p w14:paraId="29D6D107" w14:textId="77777777" w:rsidR="00130784" w:rsidRDefault="00C82371">
            <w:pPr>
              <w:keepNext/>
              <w:spacing w:after="0"/>
            </w:pPr>
            <w:r>
              <w:rPr>
                <w:color w:val="FFFFFF"/>
              </w:rPr>
              <w:t>11. NOODSITUATIES &amp; DIERENARTS</w:t>
            </w:r>
          </w:p>
        </w:tc>
      </w:tr>
      <w:tr w:rsidR="00130784" w14:paraId="4C105F2B" w14:textId="77777777">
        <w:trPr>
          <w:cantSplit/>
          <w:jc w:val="center"/>
        </w:trPr>
        <w:tc>
          <w:tcPr>
            <w:tcW w:w="10772" w:type="dxa"/>
            <w:tcMar>
              <w:top w:w="100" w:type="dxa"/>
              <w:left w:w="140" w:type="dxa"/>
              <w:bottom w:w="100" w:type="dxa"/>
              <w:right w:w="140" w:type="dxa"/>
            </w:tcMar>
          </w:tcPr>
          <w:p w14:paraId="5DFE8265" w14:textId="77777777" w:rsidR="00130784" w:rsidRDefault="00C82371">
            <w:pPr>
              <w:spacing w:after="100"/>
            </w:pPr>
            <w:r>
              <w:t>Bij een noodsituatie mag The Bark Bone-tique redelijke maatregelen nemen die noodzakelijk zijn voor de veiligheid en het welzijn van de hond. De eigenaar en het opgegeven noodcontact worden zo snel mogelijk gecontacteerd.</w:t>
            </w:r>
          </w:p>
          <w:p w14:paraId="07DD50E9" w14:textId="77777777" w:rsidR="00130784" w:rsidRDefault="00C82371">
            <w:pPr>
              <w:spacing w:after="100"/>
            </w:pPr>
            <w:r>
              <w:t>Wanneer dringende diergeneeskundige hulp nodig is en niemand tijdig bereikbaar is, mag contact worden opgenomen met de opgegeven dierenarts of, indien nodig, een andere beschikbare dierenarts of dierenkliniek.</w:t>
            </w:r>
          </w:p>
          <w:p w14:paraId="5075A38E" w14:textId="77777777" w:rsidR="00130784" w:rsidRDefault="00C82371">
            <w:pPr>
              <w:spacing w:after="100"/>
            </w:pPr>
            <w:r>
              <w:t>Dierenartskosten blijven ten laste van de eigenaar, behoudens wanneer wettelijk anders bepaald.</w:t>
            </w:r>
          </w:p>
        </w:tc>
      </w:tr>
    </w:tbl>
    <w:p w14:paraId="2B1FD3A2"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3E3F4FFA" w14:textId="77777777">
        <w:trPr>
          <w:cantSplit/>
          <w:jc w:val="center"/>
        </w:trPr>
        <w:tc>
          <w:tcPr>
            <w:tcW w:w="10772" w:type="dxa"/>
            <w:shd w:val="clear" w:color="auto" w:fill="84957B"/>
            <w:tcMar>
              <w:top w:w="65" w:type="dxa"/>
              <w:left w:w="120" w:type="dxa"/>
              <w:bottom w:w="65" w:type="dxa"/>
              <w:right w:w="120" w:type="dxa"/>
            </w:tcMar>
          </w:tcPr>
          <w:p w14:paraId="7F06AD9D" w14:textId="77777777" w:rsidR="00130784" w:rsidRDefault="00C82371">
            <w:pPr>
              <w:keepNext/>
              <w:spacing w:after="0"/>
            </w:pPr>
            <w:r>
              <w:rPr>
                <w:color w:val="FFFFFF"/>
              </w:rPr>
              <w:lastRenderedPageBreak/>
              <w:t>12. AANSPRAKELIJKHEID</w:t>
            </w:r>
          </w:p>
        </w:tc>
      </w:tr>
      <w:tr w:rsidR="00130784" w14:paraId="382C7CD5" w14:textId="77777777">
        <w:trPr>
          <w:cantSplit/>
          <w:jc w:val="center"/>
        </w:trPr>
        <w:tc>
          <w:tcPr>
            <w:tcW w:w="10772" w:type="dxa"/>
            <w:tcMar>
              <w:top w:w="100" w:type="dxa"/>
              <w:left w:w="140" w:type="dxa"/>
              <w:bottom w:w="100" w:type="dxa"/>
              <w:right w:w="140" w:type="dxa"/>
            </w:tcMar>
          </w:tcPr>
          <w:p w14:paraId="1DEC120C" w14:textId="77777777" w:rsidR="00130784" w:rsidRDefault="00C82371">
            <w:pPr>
              <w:spacing w:after="100"/>
            </w:pPr>
            <w:r>
              <w:t>The Bark Bone-tique voert de afgesproken diensten zorgvuldig uit. Honden blijven echter levende dieren en gedrag of gebeurtenissen kunnen nooit volledig worden voorspeld of uitgesloten.</w:t>
            </w:r>
          </w:p>
          <w:p w14:paraId="047D233D" w14:textId="77777777" w:rsidR="00130784" w:rsidRDefault="00C82371">
            <w:pPr>
              <w:spacing w:after="100"/>
            </w:pPr>
            <w:r>
              <w:t>De eigenaar blijft verantwoordelijk voor correcte informatie over de hond en voor de gevolgen van relevante informatie die niet of onjuist werd meegedeeld.</w:t>
            </w:r>
          </w:p>
          <w:p w14:paraId="4FBD9C92" w14:textId="77777777" w:rsidR="00130784" w:rsidRDefault="00C82371">
            <w:pPr>
              <w:spacing w:after="100"/>
            </w:pPr>
            <w:r>
              <w:t>Geen bepaling in deze voorwaarden beperkt aansprakelijkheid voor zover een dergelijke beperking volgens het toepasselijke recht niet is toegestaan.</w:t>
            </w:r>
          </w:p>
        </w:tc>
      </w:tr>
    </w:tbl>
    <w:p w14:paraId="1DBDD185"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3D35D168" w14:textId="77777777">
        <w:trPr>
          <w:cantSplit/>
          <w:jc w:val="center"/>
        </w:trPr>
        <w:tc>
          <w:tcPr>
            <w:tcW w:w="10772" w:type="dxa"/>
            <w:shd w:val="clear" w:color="auto" w:fill="84957B"/>
            <w:tcMar>
              <w:top w:w="65" w:type="dxa"/>
              <w:left w:w="120" w:type="dxa"/>
              <w:bottom w:w="65" w:type="dxa"/>
              <w:right w:w="120" w:type="dxa"/>
            </w:tcMar>
          </w:tcPr>
          <w:p w14:paraId="161BA280" w14:textId="77777777" w:rsidR="00130784" w:rsidRDefault="00C82371">
            <w:pPr>
              <w:keepNext/>
              <w:spacing w:after="0"/>
            </w:pPr>
            <w:r>
              <w:rPr>
                <w:color w:val="FFFFFF"/>
              </w:rPr>
              <w:t>13. SCHADE DOOR DE HOND</w:t>
            </w:r>
          </w:p>
        </w:tc>
      </w:tr>
      <w:tr w:rsidR="00130784" w14:paraId="5964D179" w14:textId="77777777">
        <w:trPr>
          <w:cantSplit/>
          <w:jc w:val="center"/>
        </w:trPr>
        <w:tc>
          <w:tcPr>
            <w:tcW w:w="10772" w:type="dxa"/>
            <w:tcMar>
              <w:top w:w="100" w:type="dxa"/>
              <w:left w:w="140" w:type="dxa"/>
              <w:bottom w:w="100" w:type="dxa"/>
              <w:right w:w="140" w:type="dxa"/>
            </w:tcMar>
          </w:tcPr>
          <w:p w14:paraId="54AF5281" w14:textId="77777777" w:rsidR="00130784" w:rsidRDefault="00C82371">
            <w:pPr>
              <w:spacing w:after="100"/>
            </w:pPr>
            <w:r>
              <w:t>De eigenaar meldt vooraf gekend gedrag dat schade kan veroorzaken. Wanneer de hond schade veroorzaakt aan personen, dieren of goederen, wordt de situatie beoordeeld volgens de concrete omstandigheden en de toepasselijke wettelijke aansprakelijkheidsregels.</w:t>
            </w:r>
          </w:p>
          <w:p w14:paraId="64FD02E4" w14:textId="77777777" w:rsidR="00130784" w:rsidRDefault="00C82371">
            <w:pPr>
              <w:spacing w:after="100"/>
            </w:pPr>
            <w:r>
              <w:t>The Bark Bone-tique informeert de eigenaar zo snel mogelijk over een relevant incident dat zich tijdens de dienstverlening heeft voorgedaan.</w:t>
            </w:r>
          </w:p>
        </w:tc>
      </w:tr>
    </w:tbl>
    <w:p w14:paraId="0BC4F756"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30DE2FD6" w14:textId="77777777">
        <w:trPr>
          <w:cantSplit/>
          <w:jc w:val="center"/>
        </w:trPr>
        <w:tc>
          <w:tcPr>
            <w:tcW w:w="10772" w:type="dxa"/>
            <w:shd w:val="clear" w:color="auto" w:fill="84957B"/>
            <w:tcMar>
              <w:top w:w="65" w:type="dxa"/>
              <w:left w:w="120" w:type="dxa"/>
              <w:bottom w:w="65" w:type="dxa"/>
              <w:right w:w="120" w:type="dxa"/>
            </w:tcMar>
          </w:tcPr>
          <w:p w14:paraId="1E5152B2" w14:textId="77777777" w:rsidR="00130784" w:rsidRDefault="00C82371">
            <w:pPr>
              <w:keepNext/>
              <w:spacing w:after="0"/>
            </w:pPr>
            <w:r>
              <w:rPr>
                <w:color w:val="FFFFFF"/>
              </w:rPr>
              <w:t>14. FOTO’S, VIDEO’S &amp; SOCIALE MEDIA</w:t>
            </w:r>
          </w:p>
        </w:tc>
      </w:tr>
      <w:tr w:rsidR="00130784" w14:paraId="41C3FDB7" w14:textId="77777777">
        <w:trPr>
          <w:cantSplit/>
          <w:jc w:val="center"/>
        </w:trPr>
        <w:tc>
          <w:tcPr>
            <w:tcW w:w="10772" w:type="dxa"/>
            <w:tcMar>
              <w:top w:w="100" w:type="dxa"/>
              <w:left w:w="140" w:type="dxa"/>
              <w:bottom w:w="100" w:type="dxa"/>
              <w:right w:w="140" w:type="dxa"/>
            </w:tcMar>
          </w:tcPr>
          <w:p w14:paraId="56DDEEEC" w14:textId="77777777" w:rsidR="00130784" w:rsidRDefault="00C82371">
            <w:pPr>
              <w:spacing w:after="100"/>
            </w:pPr>
            <w:r>
              <w:t>Foto’s of video’s voor promotionele doeleinden worden alleen gebruikt wanneer daarvoor toestemming is gegeven. Toestemming kan afzonderlijk worden vastgelegd op de kennismakingsfiche of via een andere duidelijke keuze.</w:t>
            </w:r>
          </w:p>
          <w:p w14:paraId="1B23A6D5" w14:textId="77777777" w:rsidR="00130784" w:rsidRDefault="00C82371">
            <w:pPr>
              <w:spacing w:after="100"/>
            </w:pPr>
            <w:r>
              <w:t>Het weigeren of intrekken van toestemming voor promotioneel beeldmateriaal heeft geen invloed op de gewone dienstverlening. Intrekking werkt voor toekomstig gebruik, rekening houdend met materiaal dat reeds rechtmatig werd gepubliceerd of verwerkt.</w:t>
            </w:r>
          </w:p>
        </w:tc>
      </w:tr>
    </w:tbl>
    <w:p w14:paraId="16E92223"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129F7181" w14:textId="77777777">
        <w:trPr>
          <w:cantSplit/>
          <w:jc w:val="center"/>
        </w:trPr>
        <w:tc>
          <w:tcPr>
            <w:tcW w:w="10772" w:type="dxa"/>
            <w:shd w:val="clear" w:color="auto" w:fill="84957B"/>
            <w:tcMar>
              <w:top w:w="65" w:type="dxa"/>
              <w:left w:w="120" w:type="dxa"/>
              <w:bottom w:w="65" w:type="dxa"/>
              <w:right w:w="120" w:type="dxa"/>
            </w:tcMar>
          </w:tcPr>
          <w:p w14:paraId="08CF453A" w14:textId="77777777" w:rsidR="00130784" w:rsidRDefault="00C82371">
            <w:pPr>
              <w:keepNext/>
              <w:spacing w:after="0"/>
            </w:pPr>
            <w:r>
              <w:rPr>
                <w:color w:val="FFFFFF"/>
              </w:rPr>
              <w:t>15. PRIVACY &amp; PERSOONSGEGEVENS</w:t>
            </w:r>
          </w:p>
        </w:tc>
      </w:tr>
      <w:tr w:rsidR="00130784" w14:paraId="076AFC64" w14:textId="77777777">
        <w:trPr>
          <w:cantSplit/>
          <w:jc w:val="center"/>
        </w:trPr>
        <w:tc>
          <w:tcPr>
            <w:tcW w:w="10772" w:type="dxa"/>
            <w:tcMar>
              <w:top w:w="100" w:type="dxa"/>
              <w:left w:w="140" w:type="dxa"/>
              <w:bottom w:w="100" w:type="dxa"/>
              <w:right w:w="140" w:type="dxa"/>
            </w:tcMar>
          </w:tcPr>
          <w:p w14:paraId="09D21485" w14:textId="77777777" w:rsidR="00130784" w:rsidRDefault="00C82371">
            <w:pPr>
              <w:spacing w:after="100"/>
            </w:pPr>
            <w:r>
              <w:t>Persoonsgegevens en gegevens over de hond worden verwerkt voor onder meer organisatie en uitvoering van diensten, communicatie, klantenadministratie, facturatie en veiligheid.</w:t>
            </w:r>
          </w:p>
          <w:p w14:paraId="5B69DDB3" w14:textId="77777777" w:rsidR="00130784" w:rsidRDefault="00C82371">
            <w:pPr>
              <w:spacing w:after="100"/>
            </w:pPr>
            <w:r>
              <w:t>Meer informatie over welke gegevens worden verwerkt, de doeleinden, bewaartermijnen en rechten van betrokkenen staat in de privacyverklaring van The Bark Bone-tique.</w:t>
            </w:r>
          </w:p>
        </w:tc>
      </w:tr>
    </w:tbl>
    <w:p w14:paraId="2E612C12"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3842BA94" w14:textId="77777777">
        <w:trPr>
          <w:cantSplit/>
          <w:jc w:val="center"/>
        </w:trPr>
        <w:tc>
          <w:tcPr>
            <w:tcW w:w="10772" w:type="dxa"/>
            <w:shd w:val="clear" w:color="auto" w:fill="84957B"/>
            <w:tcMar>
              <w:top w:w="65" w:type="dxa"/>
              <w:left w:w="120" w:type="dxa"/>
              <w:bottom w:w="65" w:type="dxa"/>
              <w:right w:w="120" w:type="dxa"/>
            </w:tcMar>
          </w:tcPr>
          <w:p w14:paraId="60E47AAA" w14:textId="77777777" w:rsidR="00130784" w:rsidRDefault="00C82371">
            <w:pPr>
              <w:keepNext/>
              <w:spacing w:after="0"/>
            </w:pPr>
            <w:r>
              <w:rPr>
                <w:color w:val="FFFFFF"/>
              </w:rPr>
              <w:t>16. OVERMACHT &amp; ONVOORZIENE OMSTANDIGHEDEN</w:t>
            </w:r>
          </w:p>
        </w:tc>
      </w:tr>
      <w:tr w:rsidR="00130784" w14:paraId="456CB870" w14:textId="77777777">
        <w:trPr>
          <w:cantSplit/>
          <w:jc w:val="center"/>
        </w:trPr>
        <w:tc>
          <w:tcPr>
            <w:tcW w:w="10772" w:type="dxa"/>
            <w:tcMar>
              <w:top w:w="100" w:type="dxa"/>
              <w:left w:w="140" w:type="dxa"/>
              <w:bottom w:w="100" w:type="dxa"/>
              <w:right w:w="140" w:type="dxa"/>
            </w:tcMar>
          </w:tcPr>
          <w:p w14:paraId="72FC8C0A" w14:textId="77777777" w:rsidR="00130784" w:rsidRDefault="00C82371">
            <w:pPr>
              <w:spacing w:after="100"/>
            </w:pPr>
            <w:r>
              <w:t>Wanneer uitvoering tijdelijk onmogelijk of onredelijk wordt door omstandigheden buiten de redelijke controle van The Bark Bone-tique, wordt gezocht naar een passende oplossing, zoals uitstel, aanpassing of annulering van de afspraak.</w:t>
            </w:r>
          </w:p>
          <w:p w14:paraId="5D955863" w14:textId="77777777" w:rsidR="00130784" w:rsidRDefault="00C82371">
            <w:pPr>
              <w:spacing w:after="100"/>
            </w:pPr>
            <w:r>
              <w:t>Voorbeelden kunnen zijn: ernstige weersomstandigheden, ziekte, onverwachte vervoersproblemen, overheidsmaatregelen of andere veiligheidsrisico’s.</w:t>
            </w:r>
          </w:p>
        </w:tc>
      </w:tr>
    </w:tbl>
    <w:p w14:paraId="76EC7ECB"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675CFFB6" w14:textId="77777777">
        <w:trPr>
          <w:cantSplit/>
          <w:jc w:val="center"/>
        </w:trPr>
        <w:tc>
          <w:tcPr>
            <w:tcW w:w="10772" w:type="dxa"/>
            <w:shd w:val="clear" w:color="auto" w:fill="84957B"/>
            <w:tcMar>
              <w:top w:w="65" w:type="dxa"/>
              <w:left w:w="120" w:type="dxa"/>
              <w:bottom w:w="65" w:type="dxa"/>
              <w:right w:w="120" w:type="dxa"/>
            </w:tcMar>
          </w:tcPr>
          <w:p w14:paraId="69C93757" w14:textId="77777777" w:rsidR="00130784" w:rsidRDefault="00C82371">
            <w:pPr>
              <w:keepNext/>
              <w:spacing w:after="0"/>
            </w:pPr>
            <w:r>
              <w:rPr>
                <w:color w:val="FFFFFF"/>
              </w:rPr>
              <w:t>17. KLACHTEN &amp; COMMUNICATIE</w:t>
            </w:r>
          </w:p>
        </w:tc>
      </w:tr>
      <w:tr w:rsidR="00130784" w14:paraId="5117BDEE" w14:textId="77777777">
        <w:trPr>
          <w:cantSplit/>
          <w:jc w:val="center"/>
        </w:trPr>
        <w:tc>
          <w:tcPr>
            <w:tcW w:w="10772" w:type="dxa"/>
            <w:tcMar>
              <w:top w:w="100" w:type="dxa"/>
              <w:left w:w="140" w:type="dxa"/>
              <w:bottom w:w="100" w:type="dxa"/>
              <w:right w:w="140" w:type="dxa"/>
            </w:tcMar>
          </w:tcPr>
          <w:p w14:paraId="75CAD3AA" w14:textId="77777777" w:rsidR="00130784" w:rsidRDefault="00C82371">
            <w:pPr>
              <w:spacing w:after="100"/>
            </w:pPr>
            <w:r>
              <w:t>Vragen of klachten worden bij voorkeur zo snel mogelijk rechtstreeks aan The Bark Bone-tique gemeld, zodat de situatie kan worden besproken en waar mogelijk opgelost.</w:t>
            </w:r>
          </w:p>
          <w:p w14:paraId="012705D7" w14:textId="77777777" w:rsidR="00130784" w:rsidRDefault="00C82371">
            <w:pPr>
              <w:spacing w:after="100"/>
            </w:pPr>
            <w:r>
              <w:t>De eigenaar verstrekt voldoende informatie om de melding te kunnen beoordelen. The Bark Bone-tique streeft naar een redelijke en duidelijke opvolging.</w:t>
            </w:r>
          </w:p>
        </w:tc>
      </w:tr>
    </w:tbl>
    <w:p w14:paraId="16DE2F7A"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1EDCC260" w14:textId="77777777">
        <w:trPr>
          <w:cantSplit/>
          <w:jc w:val="center"/>
        </w:trPr>
        <w:tc>
          <w:tcPr>
            <w:tcW w:w="10772" w:type="dxa"/>
            <w:shd w:val="clear" w:color="auto" w:fill="84957B"/>
            <w:tcMar>
              <w:top w:w="65" w:type="dxa"/>
              <w:left w:w="120" w:type="dxa"/>
              <w:bottom w:w="65" w:type="dxa"/>
              <w:right w:w="120" w:type="dxa"/>
            </w:tcMar>
          </w:tcPr>
          <w:p w14:paraId="64D01C5B" w14:textId="77777777" w:rsidR="00130784" w:rsidRDefault="00C82371">
            <w:pPr>
              <w:keepNext/>
              <w:spacing w:after="0"/>
            </w:pPr>
            <w:r>
              <w:rPr>
                <w:color w:val="FFFFFF"/>
              </w:rPr>
              <w:t>18. WIJZIGINGEN VAN DE VOORWAARDEN</w:t>
            </w:r>
          </w:p>
        </w:tc>
      </w:tr>
      <w:tr w:rsidR="00130784" w14:paraId="335CBD09" w14:textId="77777777">
        <w:trPr>
          <w:cantSplit/>
          <w:jc w:val="center"/>
        </w:trPr>
        <w:tc>
          <w:tcPr>
            <w:tcW w:w="10772" w:type="dxa"/>
            <w:tcMar>
              <w:top w:w="100" w:type="dxa"/>
              <w:left w:w="140" w:type="dxa"/>
              <w:bottom w:w="100" w:type="dxa"/>
              <w:right w:w="140" w:type="dxa"/>
            </w:tcMar>
          </w:tcPr>
          <w:p w14:paraId="1619A542" w14:textId="77777777" w:rsidR="00130784" w:rsidRDefault="00C82371">
            <w:pPr>
              <w:spacing w:after="100"/>
            </w:pPr>
            <w:r>
              <w:t>The Bark Bone-tique kan deze algemene voorwaarden aanpassen wanneer de dienstverlening, wetgeving of praktische werking daartoe aanleiding geeft. De versie die van toepassing is op een boeking is de versie die voor die boeking werd meegedeeld of beschikbaar gesteld.</w:t>
            </w:r>
          </w:p>
          <w:p w14:paraId="70E59A48" w14:textId="77777777" w:rsidR="00130784" w:rsidRDefault="00C82371">
            <w:pPr>
              <w:spacing w:after="100"/>
            </w:pPr>
            <w:r>
              <w:t>Belangrijke wijzigingen die relevant zijn voor lopende afspraken worden op passende wijze gecommuniceerd.</w:t>
            </w:r>
          </w:p>
        </w:tc>
      </w:tr>
    </w:tbl>
    <w:p w14:paraId="07CCC5EF"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77A79B38" w14:textId="77777777">
        <w:trPr>
          <w:cantSplit/>
          <w:jc w:val="center"/>
        </w:trPr>
        <w:tc>
          <w:tcPr>
            <w:tcW w:w="10772" w:type="dxa"/>
            <w:shd w:val="clear" w:color="auto" w:fill="84957B"/>
            <w:tcMar>
              <w:top w:w="65" w:type="dxa"/>
              <w:left w:w="120" w:type="dxa"/>
              <w:bottom w:w="65" w:type="dxa"/>
              <w:right w:w="120" w:type="dxa"/>
            </w:tcMar>
          </w:tcPr>
          <w:p w14:paraId="55D21620" w14:textId="77777777" w:rsidR="00130784" w:rsidRDefault="00C82371">
            <w:pPr>
              <w:keepNext/>
              <w:spacing w:after="0"/>
            </w:pPr>
            <w:r>
              <w:rPr>
                <w:color w:val="FFFFFF"/>
              </w:rPr>
              <w:lastRenderedPageBreak/>
              <w:t>19. TOEPASSELIJK RECHT</w:t>
            </w:r>
          </w:p>
        </w:tc>
      </w:tr>
      <w:tr w:rsidR="00130784" w14:paraId="0872EEB3" w14:textId="77777777">
        <w:trPr>
          <w:cantSplit/>
          <w:jc w:val="center"/>
        </w:trPr>
        <w:tc>
          <w:tcPr>
            <w:tcW w:w="10772" w:type="dxa"/>
            <w:tcMar>
              <w:top w:w="100" w:type="dxa"/>
              <w:left w:w="140" w:type="dxa"/>
              <w:bottom w:w="100" w:type="dxa"/>
              <w:right w:w="140" w:type="dxa"/>
            </w:tcMar>
          </w:tcPr>
          <w:p w14:paraId="73FAAC20" w14:textId="77777777" w:rsidR="00130784" w:rsidRDefault="00C82371">
            <w:pPr>
              <w:spacing w:after="100"/>
            </w:pPr>
            <w:r>
              <w:t>Op de overeenkomst is het Belgische recht van toepassing, voor zover wettelijk toegestaan. Dwingende consumentenrechten blijven onverkort van toepassing.</w:t>
            </w:r>
          </w:p>
          <w:p w14:paraId="72AA4055" w14:textId="77777777" w:rsidR="00130784" w:rsidRDefault="00C82371">
            <w:pPr>
              <w:spacing w:after="100"/>
            </w:pPr>
            <w:r>
              <w:t>Partijen proberen een geschil bij voorkeur eerst in onderling overleg op te lossen. Indien dat niet lukt, gelden de bevoegde instanties en rechtbanken zoals bepaald door het toepasselijke recht.</w:t>
            </w:r>
          </w:p>
        </w:tc>
      </w:tr>
    </w:tbl>
    <w:p w14:paraId="3C3BF935"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5F7DD7F8" w14:textId="77777777">
        <w:trPr>
          <w:cantSplit/>
          <w:jc w:val="center"/>
        </w:trPr>
        <w:tc>
          <w:tcPr>
            <w:tcW w:w="10772" w:type="dxa"/>
            <w:shd w:val="clear" w:color="auto" w:fill="84957B"/>
            <w:tcMar>
              <w:top w:w="65" w:type="dxa"/>
              <w:left w:w="120" w:type="dxa"/>
              <w:bottom w:w="65" w:type="dxa"/>
              <w:right w:w="120" w:type="dxa"/>
            </w:tcMar>
          </w:tcPr>
          <w:p w14:paraId="63D43839" w14:textId="77777777" w:rsidR="00130784" w:rsidRDefault="00C82371">
            <w:pPr>
              <w:keepNext/>
              <w:spacing w:after="0"/>
            </w:pPr>
            <w:r>
              <w:rPr>
                <w:color w:val="FFFFFF"/>
              </w:rPr>
              <w:t>20. AANVULLENDE DOCUMENTEN</w:t>
            </w:r>
          </w:p>
        </w:tc>
      </w:tr>
      <w:tr w:rsidR="00130784" w14:paraId="1D6DF4A0" w14:textId="77777777">
        <w:trPr>
          <w:cantSplit/>
          <w:jc w:val="center"/>
        </w:trPr>
        <w:tc>
          <w:tcPr>
            <w:tcW w:w="10772" w:type="dxa"/>
            <w:tcMar>
              <w:top w:w="100" w:type="dxa"/>
              <w:left w:w="140" w:type="dxa"/>
              <w:bottom w:w="100" w:type="dxa"/>
              <w:right w:w="140" w:type="dxa"/>
            </w:tcMar>
          </w:tcPr>
          <w:p w14:paraId="79D32932" w14:textId="77777777" w:rsidR="00130784" w:rsidRDefault="00C82371">
            <w:pPr>
              <w:spacing w:after="100"/>
            </w:pPr>
            <w:r>
              <w:t>Afhankelijk van de gekozen dienst kunnen onder meer de kennismakingsfiche, privacyverklaring, fototoestemming, annuleringsbeleid, veiligheidsbeleid, slechtweer- en hittebeleid, sleutel- en woontoegankelijkheidsbeleid en noodprocedure aanvullend van toepassing zijn.</w:t>
            </w:r>
          </w:p>
          <w:p w14:paraId="34E056C8" w14:textId="77777777" w:rsidR="00130784" w:rsidRDefault="00C82371">
            <w:pPr>
              <w:spacing w:after="100"/>
            </w:pPr>
            <w:r>
              <w:t>Deze documenten moeten samen worden gelezen met de afspraken die specifiek voor de gekozen dienst zijn gemaakt.</w:t>
            </w:r>
          </w:p>
        </w:tc>
      </w:tr>
    </w:tbl>
    <w:p w14:paraId="1E4E59EC"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ook w:val="04A0" w:firstRow="1" w:lastRow="0" w:firstColumn="1" w:lastColumn="0" w:noHBand="0" w:noVBand="1"/>
      </w:tblPr>
      <w:tblGrid>
        <w:gridCol w:w="10760"/>
      </w:tblGrid>
      <w:tr w:rsidR="00130784" w14:paraId="27FF3AA7" w14:textId="77777777">
        <w:trPr>
          <w:cantSplit/>
          <w:jc w:val="center"/>
        </w:trPr>
        <w:tc>
          <w:tcPr>
            <w:tcW w:w="10772" w:type="dxa"/>
            <w:shd w:val="clear" w:color="auto" w:fill="84957B"/>
            <w:tcMar>
              <w:top w:w="65" w:type="dxa"/>
              <w:left w:w="120" w:type="dxa"/>
              <w:bottom w:w="65" w:type="dxa"/>
              <w:right w:w="120" w:type="dxa"/>
            </w:tcMar>
          </w:tcPr>
          <w:p w14:paraId="3EDC6443" w14:textId="77777777" w:rsidR="00130784" w:rsidRDefault="00C82371">
            <w:pPr>
              <w:keepNext/>
              <w:spacing w:after="0"/>
            </w:pPr>
            <w:r>
              <w:rPr>
                <w:color w:val="FFFFFF"/>
              </w:rPr>
              <w:t>21. BEVESTIGING EIGENAAR</w:t>
            </w:r>
          </w:p>
        </w:tc>
      </w:tr>
      <w:tr w:rsidR="00130784" w14:paraId="64CD9B30" w14:textId="77777777">
        <w:trPr>
          <w:cantSplit/>
          <w:jc w:val="center"/>
        </w:trPr>
        <w:tc>
          <w:tcPr>
            <w:tcW w:w="10772" w:type="dxa"/>
            <w:tcMar>
              <w:top w:w="100" w:type="dxa"/>
              <w:left w:w="140" w:type="dxa"/>
              <w:bottom w:w="100" w:type="dxa"/>
              <w:right w:w="140" w:type="dxa"/>
            </w:tcMar>
          </w:tcPr>
          <w:p w14:paraId="0579EA1E" w14:textId="77777777" w:rsidR="00130784" w:rsidRDefault="00C82371">
            <w:pPr>
              <w:spacing w:after="100"/>
            </w:pPr>
            <w:r>
              <w:t>Door ondertekening bevestigt de eigenaar de algemene voorwaarden te hebben gelezen en begrepen en deze te hebben ontvangen of te hebben kunnen raadplegen.</w:t>
            </w:r>
          </w:p>
          <w:p w14:paraId="31174562" w14:textId="77777777" w:rsidR="00130784" w:rsidRDefault="00C82371">
            <w:pPr>
              <w:spacing w:after="60"/>
              <w:ind w:left="198" w:hanging="113"/>
            </w:pPr>
            <w:r>
              <w:t>☐</w:t>
            </w:r>
            <w:r>
              <w:t xml:space="preserve">  Ik bevestig dat ik de algemene voorwaarden van The Bark Bone-tique heb ontvangen of kunnen raadplegen en hiermee akkoord ga.</w:t>
            </w:r>
          </w:p>
        </w:tc>
      </w:tr>
    </w:tbl>
    <w:p w14:paraId="3EC7716E" w14:textId="77777777" w:rsidR="00130784" w:rsidRDefault="00130784">
      <w:pPr>
        <w:spacing w:after="40"/>
      </w:pPr>
    </w:p>
    <w:tbl>
      <w:tblPr>
        <w:tblW w:w="0" w:type="auto"/>
        <w:jc w:val="center"/>
        <w:tblBorders>
          <w:top w:val="single" w:sz="5" w:space="0" w:color="CDD3C9"/>
          <w:left w:val="single" w:sz="5" w:space="0" w:color="CDD3C9"/>
          <w:bottom w:val="single" w:sz="5" w:space="0" w:color="CDD3C9"/>
          <w:right w:val="single" w:sz="5" w:space="0" w:color="CDD3C9"/>
          <w:insideH w:val="single" w:sz="5" w:space="0" w:color="CDD3C9"/>
          <w:insideV w:val="single" w:sz="5" w:space="0" w:color="CDD3C9"/>
        </w:tblBorders>
        <w:tblLayout w:type="fixed"/>
        <w:tblLook w:val="04A0" w:firstRow="1" w:lastRow="0" w:firstColumn="1" w:lastColumn="0" w:noHBand="0" w:noVBand="1"/>
      </w:tblPr>
      <w:tblGrid>
        <w:gridCol w:w="5386"/>
        <w:gridCol w:w="5386"/>
      </w:tblGrid>
      <w:tr w:rsidR="00130784" w14:paraId="28E76ED4" w14:textId="77777777">
        <w:trPr>
          <w:cantSplit/>
          <w:jc w:val="center"/>
        </w:trPr>
        <w:tc>
          <w:tcPr>
            <w:tcW w:w="5386" w:type="dxa"/>
            <w:tcMar>
              <w:top w:w="45" w:type="dxa"/>
              <w:left w:w="120" w:type="dxa"/>
              <w:bottom w:w="45" w:type="dxa"/>
              <w:right w:w="120" w:type="dxa"/>
            </w:tcMar>
          </w:tcPr>
          <w:p w14:paraId="04575F82" w14:textId="77777777" w:rsidR="00130784" w:rsidRDefault="00C82371">
            <w:r>
              <w:rPr>
                <w:color w:val="7D857B"/>
                <w:sz w:val="17"/>
              </w:rPr>
              <w:t>Naam eigenaar</w:t>
            </w:r>
          </w:p>
          <w:p w14:paraId="26F7A9D6" w14:textId="77777777" w:rsidR="00130784" w:rsidRDefault="00C82371">
            <w:pPr>
              <w:spacing w:before="40" w:after="0"/>
            </w:pPr>
            <w:r>
              <w:t>____________________________________</w:t>
            </w:r>
          </w:p>
        </w:tc>
        <w:tc>
          <w:tcPr>
            <w:tcW w:w="5386" w:type="dxa"/>
            <w:tcMar>
              <w:top w:w="45" w:type="dxa"/>
              <w:left w:w="120" w:type="dxa"/>
              <w:bottom w:w="45" w:type="dxa"/>
              <w:right w:w="120" w:type="dxa"/>
            </w:tcMar>
          </w:tcPr>
          <w:p w14:paraId="063B45A5" w14:textId="77777777" w:rsidR="00130784" w:rsidRDefault="00C82371">
            <w:r>
              <w:rPr>
                <w:color w:val="7D857B"/>
                <w:sz w:val="17"/>
              </w:rPr>
              <w:t>Naam hond</w:t>
            </w:r>
          </w:p>
          <w:p w14:paraId="2AEB88AF" w14:textId="77777777" w:rsidR="00130784" w:rsidRDefault="00C82371">
            <w:pPr>
              <w:spacing w:before="40" w:after="0"/>
            </w:pPr>
            <w:r>
              <w:t>____________________________________</w:t>
            </w:r>
          </w:p>
        </w:tc>
      </w:tr>
      <w:tr w:rsidR="00130784" w14:paraId="033B25DC" w14:textId="77777777">
        <w:trPr>
          <w:cantSplit/>
          <w:jc w:val="center"/>
        </w:trPr>
        <w:tc>
          <w:tcPr>
            <w:tcW w:w="5386" w:type="dxa"/>
            <w:tcMar>
              <w:top w:w="45" w:type="dxa"/>
              <w:left w:w="120" w:type="dxa"/>
              <w:bottom w:w="45" w:type="dxa"/>
              <w:right w:w="120" w:type="dxa"/>
            </w:tcMar>
          </w:tcPr>
          <w:p w14:paraId="519378E8" w14:textId="77777777" w:rsidR="00130784" w:rsidRDefault="00C82371">
            <w:r>
              <w:rPr>
                <w:color w:val="7D857B"/>
                <w:sz w:val="17"/>
              </w:rPr>
              <w:t>Plaats</w:t>
            </w:r>
          </w:p>
          <w:p w14:paraId="21923779" w14:textId="77777777" w:rsidR="00130784" w:rsidRDefault="00C82371">
            <w:pPr>
              <w:spacing w:before="40" w:after="0"/>
            </w:pPr>
            <w:r>
              <w:t>____________________________________</w:t>
            </w:r>
          </w:p>
        </w:tc>
        <w:tc>
          <w:tcPr>
            <w:tcW w:w="5386" w:type="dxa"/>
            <w:tcMar>
              <w:top w:w="45" w:type="dxa"/>
              <w:left w:w="120" w:type="dxa"/>
              <w:bottom w:w="45" w:type="dxa"/>
              <w:right w:w="120" w:type="dxa"/>
            </w:tcMar>
          </w:tcPr>
          <w:p w14:paraId="0166D29C" w14:textId="77777777" w:rsidR="00130784" w:rsidRDefault="00C82371">
            <w:r>
              <w:rPr>
                <w:color w:val="7D857B"/>
                <w:sz w:val="17"/>
              </w:rPr>
              <w:t>Datum</w:t>
            </w:r>
          </w:p>
          <w:p w14:paraId="60AA603E" w14:textId="77777777" w:rsidR="00130784" w:rsidRDefault="00C82371">
            <w:pPr>
              <w:spacing w:before="40" w:after="0"/>
            </w:pPr>
            <w:r>
              <w:t>____________________________________</w:t>
            </w:r>
          </w:p>
        </w:tc>
      </w:tr>
      <w:tr w:rsidR="00130784" w14:paraId="6589D22B" w14:textId="77777777">
        <w:trPr>
          <w:cantSplit/>
          <w:jc w:val="center"/>
        </w:trPr>
        <w:tc>
          <w:tcPr>
            <w:tcW w:w="5386" w:type="dxa"/>
            <w:tcMar>
              <w:top w:w="45" w:type="dxa"/>
              <w:left w:w="120" w:type="dxa"/>
              <w:bottom w:w="45" w:type="dxa"/>
              <w:right w:w="120" w:type="dxa"/>
            </w:tcMar>
          </w:tcPr>
          <w:p w14:paraId="0F28271E" w14:textId="77777777" w:rsidR="00130784" w:rsidRDefault="00C82371">
            <w:r>
              <w:rPr>
                <w:b/>
                <w:color w:val="84957B"/>
                <w:sz w:val="17"/>
              </w:rPr>
              <w:t>Handtekening eigenaar</w:t>
            </w:r>
          </w:p>
          <w:p w14:paraId="1271543D" w14:textId="77777777" w:rsidR="00130784" w:rsidRDefault="00C82371">
            <w:pPr>
              <w:spacing w:before="40" w:after="0"/>
            </w:pPr>
            <w:r>
              <w:t>____________________________________</w:t>
            </w:r>
          </w:p>
        </w:tc>
        <w:tc>
          <w:tcPr>
            <w:tcW w:w="5386" w:type="dxa"/>
            <w:tcMar>
              <w:top w:w="45" w:type="dxa"/>
              <w:left w:w="120" w:type="dxa"/>
              <w:bottom w:w="45" w:type="dxa"/>
              <w:right w:w="120" w:type="dxa"/>
            </w:tcMar>
          </w:tcPr>
          <w:p w14:paraId="20B96454" w14:textId="77777777" w:rsidR="00130784" w:rsidRDefault="00C82371">
            <w:r>
              <w:rPr>
                <w:b/>
                <w:color w:val="84957B"/>
                <w:sz w:val="17"/>
              </w:rPr>
              <w:t>The Bark Bone-tique</w:t>
            </w:r>
          </w:p>
          <w:p w14:paraId="034ABEE4" w14:textId="77777777" w:rsidR="00130784" w:rsidRDefault="00C82371">
            <w:pPr>
              <w:spacing w:before="40" w:after="0"/>
            </w:pPr>
            <w:r>
              <w:t>____________________________________</w:t>
            </w:r>
          </w:p>
        </w:tc>
      </w:tr>
    </w:tbl>
    <w:p w14:paraId="7350B54E" w14:textId="77777777" w:rsidR="00C82371" w:rsidRDefault="00C82371"/>
    <w:sectPr w:rsidR="00C82371" w:rsidSect="00034616">
      <w:footerReference w:type="default" r:id="rId9"/>
      <w:pgSz w:w="11906" w:h="16838"/>
      <w:pgMar w:top="567" w:right="567" w:bottom="624"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B6651" w14:textId="77777777" w:rsidR="00C82371" w:rsidRDefault="00C82371">
      <w:pPr>
        <w:spacing w:after="0" w:line="240" w:lineRule="auto"/>
      </w:pPr>
      <w:r>
        <w:separator/>
      </w:r>
    </w:p>
  </w:endnote>
  <w:endnote w:type="continuationSeparator" w:id="0">
    <w:p w14:paraId="6B3B4099" w14:textId="77777777" w:rsidR="00C82371" w:rsidRDefault="00C82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D2D43" w14:textId="77777777" w:rsidR="00130784" w:rsidRDefault="00C82371">
    <w:pPr>
      <w:pStyle w:val="Voettekst"/>
      <w:jc w:val="center"/>
    </w:pPr>
    <w:r>
      <w:rPr>
        <w:color w:val="7D857B"/>
        <w:sz w:val="14"/>
      </w:rPr>
      <w:t>THE BARK BONE-TIQUE  •  ALGEMENE VOORWAARDEN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F4007" w14:textId="77777777" w:rsidR="00C82371" w:rsidRDefault="00C82371">
      <w:pPr>
        <w:spacing w:after="0" w:line="240" w:lineRule="auto"/>
      </w:pPr>
      <w:r>
        <w:separator/>
      </w:r>
    </w:p>
  </w:footnote>
  <w:footnote w:type="continuationSeparator" w:id="0">
    <w:p w14:paraId="25A6E9C5" w14:textId="77777777" w:rsidR="00C82371" w:rsidRDefault="00C823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886790299">
    <w:abstractNumId w:val="8"/>
  </w:num>
  <w:num w:numId="2" w16cid:durableId="705643011">
    <w:abstractNumId w:val="6"/>
  </w:num>
  <w:num w:numId="3" w16cid:durableId="1165169911">
    <w:abstractNumId w:val="5"/>
  </w:num>
  <w:num w:numId="4" w16cid:durableId="1318991526">
    <w:abstractNumId w:val="4"/>
  </w:num>
  <w:num w:numId="5" w16cid:durableId="1906067321">
    <w:abstractNumId w:val="7"/>
  </w:num>
  <w:num w:numId="6" w16cid:durableId="906258375">
    <w:abstractNumId w:val="3"/>
  </w:num>
  <w:num w:numId="7" w16cid:durableId="251210402">
    <w:abstractNumId w:val="2"/>
  </w:num>
  <w:num w:numId="8" w16cid:durableId="2023849600">
    <w:abstractNumId w:val="1"/>
  </w:num>
  <w:num w:numId="9" w16cid:durableId="49504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0784"/>
    <w:rsid w:val="0015074B"/>
    <w:rsid w:val="0029639D"/>
    <w:rsid w:val="00326F90"/>
    <w:rsid w:val="006C4321"/>
    <w:rsid w:val="00AA1D8D"/>
    <w:rsid w:val="00B47730"/>
    <w:rsid w:val="00B755BD"/>
    <w:rsid w:val="00C8237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1CD506"/>
  <w14:defaultImageDpi w14:val="300"/>
  <w15:docId w15:val="{0D337E17-1494-462C-95AA-A9D536465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80" w:line="259" w:lineRule="auto"/>
    </w:pPr>
    <w:rPr>
      <w:rFonts w:ascii="Aptos" w:hAnsi="Aptos"/>
      <w:color w:val="252A25"/>
      <w:sz w:val="18"/>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1736</Words>
  <Characters>9554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Nina Schmitt</cp:lastModifiedBy>
  <cp:revision>2</cp:revision>
  <dcterms:created xsi:type="dcterms:W3CDTF">2026-09-26T14:20:00Z</dcterms:created>
  <dcterms:modified xsi:type="dcterms:W3CDTF">2026-09-26T14:20:00Z</dcterms:modified>
  <cp:category/>
</cp:coreProperties>
</file>